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8E72F3" w14:textId="6998964F" w:rsidR="00D309CC" w:rsidRPr="004C163B" w:rsidRDefault="00D309CC" w:rsidP="00D46431">
      <w:pPr>
        <w:pStyle w:val="CH"/>
      </w:pPr>
      <w:bookmarkStart w:id="0" w:name="historyclause"/>
      <w:r w:rsidRPr="004C163B">
        <w:t>3GPP RAN</w:t>
      </w:r>
      <w:r w:rsidR="00CF20E3" w:rsidRPr="004C163B">
        <w:t xml:space="preserve"> </w:t>
      </w:r>
      <w:r w:rsidRPr="004C163B">
        <w:t>WG</w:t>
      </w:r>
      <w:r w:rsidR="003C564B" w:rsidRPr="004C163B">
        <w:t>4</w:t>
      </w:r>
      <w:r w:rsidRPr="004C163B">
        <w:t xml:space="preserve"> Meeting #</w:t>
      </w:r>
      <w:r w:rsidR="003C564B" w:rsidRPr="004C163B">
        <w:t>92</w:t>
      </w:r>
      <w:r w:rsidR="00CE2FAD" w:rsidRPr="004C163B">
        <w:t>bis</w:t>
      </w:r>
      <w:r w:rsidRPr="004C163B">
        <w:tab/>
      </w:r>
      <w:r w:rsidR="00D46431" w:rsidRPr="004C163B">
        <w:tab/>
      </w:r>
      <w:r w:rsidRPr="004C163B">
        <w:t>R</w:t>
      </w:r>
      <w:r w:rsidR="003C564B" w:rsidRPr="004C163B">
        <w:t>4</w:t>
      </w:r>
      <w:r w:rsidRPr="004C163B">
        <w:t>-</w:t>
      </w:r>
      <w:r w:rsidR="00D46431" w:rsidRPr="004C163B">
        <w:t>19</w:t>
      </w:r>
      <w:r w:rsidR="00CE2FAD" w:rsidRPr="004C163B">
        <w:t>1</w:t>
      </w:r>
      <w:r w:rsidR="004C163B" w:rsidRPr="004C163B">
        <w:t>1520</w:t>
      </w:r>
    </w:p>
    <w:p w14:paraId="50DC9730" w14:textId="26439DE9" w:rsidR="00D309CC" w:rsidRPr="00CE2FAD" w:rsidRDefault="00CE2FAD" w:rsidP="00D46431">
      <w:pPr>
        <w:pStyle w:val="CH"/>
        <w:tabs>
          <w:tab w:val="clear" w:pos="7920"/>
        </w:tabs>
        <w:rPr>
          <w:b w:val="0"/>
          <w:color w:val="FF0000"/>
        </w:rPr>
      </w:pPr>
      <w:r w:rsidRPr="00CE2FAD">
        <w:t>Chongqing</w:t>
      </w:r>
      <w:r w:rsidR="00D309CC" w:rsidRPr="00CE2FAD">
        <w:t xml:space="preserve">, </w:t>
      </w:r>
      <w:r w:rsidRPr="00CE2FAD">
        <w:t>China</w:t>
      </w:r>
      <w:r w:rsidR="00D309CC" w:rsidRPr="00CE2FAD">
        <w:t xml:space="preserve">, </w:t>
      </w:r>
      <w:r w:rsidRPr="00CE2FAD">
        <w:t>14</w:t>
      </w:r>
      <w:r w:rsidR="003C564B" w:rsidRPr="00CE2FAD">
        <w:t>-</w:t>
      </w:r>
      <w:r w:rsidRPr="00CE2FAD">
        <w:t>18t</w:t>
      </w:r>
      <w:r w:rsidR="003C564B" w:rsidRPr="00CE2FAD">
        <w:t xml:space="preserve">h </w:t>
      </w:r>
      <w:r w:rsidRPr="00CE2FAD">
        <w:t>October</w:t>
      </w:r>
      <w:r w:rsidR="003C564B" w:rsidRPr="00CE2FAD">
        <w:t xml:space="preserve"> 2019</w:t>
      </w:r>
      <w:r w:rsidR="00D46431" w:rsidRPr="00CE2FAD">
        <w:rPr>
          <w:color w:val="FF0000"/>
        </w:rPr>
        <w:tab/>
      </w:r>
    </w:p>
    <w:p w14:paraId="39A0EE25" w14:textId="77777777" w:rsidR="00D309CC" w:rsidRPr="00CE2FAD" w:rsidRDefault="00D309CC" w:rsidP="00D309CC">
      <w:pPr>
        <w:tabs>
          <w:tab w:val="left" w:pos="2160"/>
        </w:tabs>
        <w:rPr>
          <w:rFonts w:ascii="Arial" w:hAnsi="Arial" w:cs="Arial"/>
          <w:b/>
          <w:color w:val="FF0000"/>
        </w:rPr>
      </w:pPr>
    </w:p>
    <w:p w14:paraId="6DDCE159" w14:textId="1730FF31" w:rsidR="00D309CC" w:rsidRPr="00335412" w:rsidRDefault="00D309CC" w:rsidP="00D309CC">
      <w:pPr>
        <w:pStyle w:val="CH"/>
        <w:rPr>
          <w:b w:val="0"/>
        </w:rPr>
      </w:pPr>
      <w:r w:rsidRPr="00335412">
        <w:t>Agenda item:</w:t>
      </w:r>
      <w:r w:rsidRPr="00335412">
        <w:tab/>
      </w:r>
      <w:r w:rsidR="00335412" w:rsidRPr="00335412">
        <w:t>12</w:t>
      </w:r>
    </w:p>
    <w:p w14:paraId="4DBE005A" w14:textId="77AD1540" w:rsidR="00D309CC" w:rsidRPr="00CE2FAD" w:rsidRDefault="00D309CC" w:rsidP="00D309CC">
      <w:pPr>
        <w:pStyle w:val="CH"/>
        <w:rPr>
          <w:b w:val="0"/>
        </w:rPr>
      </w:pPr>
      <w:r w:rsidRPr="00CE2FAD">
        <w:t>Source:</w:t>
      </w:r>
      <w:r w:rsidRPr="00CE2FAD">
        <w:tab/>
        <w:t>Apple</w:t>
      </w:r>
    </w:p>
    <w:p w14:paraId="0D2061A1" w14:textId="72D6183E" w:rsidR="00D309CC" w:rsidRPr="00D554AC" w:rsidRDefault="00D309CC" w:rsidP="00D309CC">
      <w:pPr>
        <w:pStyle w:val="CH"/>
      </w:pPr>
      <w:r w:rsidRPr="00D554AC">
        <w:t>Title:</w:t>
      </w:r>
      <w:r w:rsidRPr="00D554AC">
        <w:tab/>
      </w:r>
      <w:r w:rsidR="00973EAF">
        <w:t>Single UL as UE capability</w:t>
      </w:r>
    </w:p>
    <w:p w14:paraId="2E4E044D" w14:textId="45394524" w:rsidR="00D309CC" w:rsidRPr="00D554AC" w:rsidRDefault="00D309CC" w:rsidP="00D309CC">
      <w:pPr>
        <w:pStyle w:val="CH"/>
      </w:pPr>
      <w:r w:rsidRPr="00D554AC">
        <w:t>Document for:</w:t>
      </w:r>
      <w:r w:rsidRPr="00D554AC">
        <w:tab/>
      </w:r>
      <w:r w:rsidR="0009755D" w:rsidRPr="00D554AC">
        <w:t>Approval</w:t>
      </w:r>
    </w:p>
    <w:p w14:paraId="0207DB43" w14:textId="77777777" w:rsidR="00D46431" w:rsidRPr="00CE2FAD" w:rsidRDefault="00D46431" w:rsidP="00D309CC">
      <w:pPr>
        <w:pStyle w:val="CH"/>
        <w:rPr>
          <w:b w:val="0"/>
          <w:color w:val="FF0000"/>
        </w:rPr>
      </w:pPr>
    </w:p>
    <w:p w14:paraId="0273524A" w14:textId="77777777" w:rsidR="008E7986" w:rsidRPr="00D554AC" w:rsidRDefault="008E7986" w:rsidP="008E7986">
      <w:pPr>
        <w:pStyle w:val="Heading1"/>
      </w:pPr>
      <w:r w:rsidRPr="00D554AC">
        <w:t>1</w:t>
      </w:r>
      <w:r w:rsidRPr="00D554AC">
        <w:tab/>
        <w:t xml:space="preserve">Introduction </w:t>
      </w:r>
    </w:p>
    <w:p w14:paraId="3B4CAE91" w14:textId="45062452" w:rsidR="00973EAF" w:rsidRPr="00335412" w:rsidRDefault="00D554AC" w:rsidP="0075242E">
      <w:r w:rsidRPr="00335412">
        <w:t xml:space="preserve">In </w:t>
      </w:r>
      <w:r w:rsidR="00973EAF" w:rsidRPr="00335412">
        <w:t xml:space="preserve">the last </w:t>
      </w:r>
      <w:r w:rsidRPr="00335412">
        <w:t>RAN plenary meeting</w:t>
      </w:r>
      <w:r w:rsidR="0075242E" w:rsidRPr="00335412">
        <w:t xml:space="preserve"> </w:t>
      </w:r>
      <w:r w:rsidR="00973EAF" w:rsidRPr="00335412">
        <w:t xml:space="preserve">a revised WID </w:t>
      </w:r>
      <w:r w:rsidR="00F35EFA" w:rsidRPr="00335412">
        <w:t xml:space="preserve">[1] </w:t>
      </w:r>
      <w:r w:rsidR="00973EAF" w:rsidRPr="00335412">
        <w:t>on RF requirements for NR frequency range 1 (FR1) was agreed. Specifying switching between some cases of TX configurations has been added. We propose an additional modification of the WID concerning this switching.</w:t>
      </w:r>
    </w:p>
    <w:p w14:paraId="3A67921B" w14:textId="7812CED4" w:rsidR="008E7986" w:rsidRPr="00335412" w:rsidRDefault="008E7986" w:rsidP="008E7986">
      <w:pPr>
        <w:pStyle w:val="Heading1"/>
      </w:pPr>
      <w:r w:rsidRPr="00335412">
        <w:t>2</w:t>
      </w:r>
      <w:r w:rsidRPr="00335412">
        <w:tab/>
      </w:r>
      <w:r w:rsidR="00973EAF" w:rsidRPr="00335412">
        <w:t>UE TX switching</w:t>
      </w:r>
      <w:r w:rsidRPr="00335412">
        <w:t xml:space="preserve"> </w:t>
      </w:r>
    </w:p>
    <w:p w14:paraId="18DEB2F0" w14:textId="404990B4" w:rsidR="00A75A83" w:rsidRPr="00335412" w:rsidRDefault="00973EAF" w:rsidP="00E72324">
      <w:r w:rsidRPr="00335412">
        <w:t>In the last</w:t>
      </w:r>
      <w:r w:rsidR="00C666F8" w:rsidRPr="00335412">
        <w:t xml:space="preserve"> RP this has been added to the WID:</w:t>
      </w:r>
    </w:p>
    <w:p w14:paraId="34682773" w14:textId="77777777" w:rsidR="00C666F8" w:rsidRPr="00C666F8" w:rsidRDefault="00C666F8" w:rsidP="00C666F8">
      <w:pPr>
        <w:numPr>
          <w:ilvl w:val="0"/>
          <w:numId w:val="11"/>
        </w:numPr>
        <w:overflowPunct w:val="0"/>
        <w:autoSpaceDE w:val="0"/>
        <w:autoSpaceDN w:val="0"/>
        <w:adjustRightInd w:val="0"/>
        <w:jc w:val="both"/>
        <w:textAlignment w:val="baseline"/>
        <w:rPr>
          <w:color w:val="00B0F0"/>
          <w:lang w:eastAsia="ja-JP"/>
        </w:rPr>
      </w:pPr>
      <w:r w:rsidRPr="00C666F8">
        <w:rPr>
          <w:color w:val="00B0F0"/>
          <w:lang w:eastAsia="ja-JP"/>
        </w:rPr>
        <w:t xml:space="preserve">Specify UE requirements to allow switching between case 1 and case 2 as below for two uplink carriers case inter-band EN-DC without SUL, inter-band UL CA and standalone SUL for UE supporting maximum two concurrent transmission </w:t>
      </w:r>
    </w:p>
    <w:tbl>
      <w:tblPr>
        <w:tblW w:w="6040" w:type="dxa"/>
        <w:jc w:val="center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1400"/>
        <w:gridCol w:w="4640"/>
      </w:tblGrid>
      <w:tr w:rsidR="00C666F8" w:rsidRPr="00C666F8" w14:paraId="3C835688" w14:textId="77777777" w:rsidTr="00606711">
        <w:trPr>
          <w:trHeight w:val="19"/>
          <w:jc w:val="center"/>
        </w:trPr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ABE348E" w14:textId="77777777" w:rsidR="00C666F8" w:rsidRPr="00C666F8" w:rsidRDefault="00C666F8" w:rsidP="00606711">
            <w:pPr>
              <w:spacing w:after="0"/>
              <w:rPr>
                <w:color w:val="00B0F0"/>
                <w:lang w:val="en-US" w:eastAsia="zh-CN"/>
              </w:rPr>
            </w:pPr>
            <w:r w:rsidRPr="00C666F8">
              <w:rPr>
                <w:color w:val="00B0F0"/>
                <w:kern w:val="24"/>
                <w:lang w:val="en-US" w:eastAsia="zh-CN"/>
              </w:rPr>
              <w:t xml:space="preserve">Case 1 </w:t>
            </w:r>
          </w:p>
        </w:tc>
        <w:tc>
          <w:tcPr>
            <w:tcW w:w="4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DF2F3E5" w14:textId="77777777" w:rsidR="00C666F8" w:rsidRPr="00C666F8" w:rsidRDefault="00C666F8" w:rsidP="00606711">
            <w:pPr>
              <w:spacing w:after="0"/>
              <w:rPr>
                <w:color w:val="00B0F0"/>
                <w:lang w:val="en-US" w:eastAsia="zh-CN"/>
              </w:rPr>
            </w:pPr>
            <w:r w:rsidRPr="00C666F8">
              <w:rPr>
                <w:color w:val="00B0F0"/>
                <w:kern w:val="24"/>
                <w:lang w:val="en-US" w:eastAsia="zh-CN"/>
              </w:rPr>
              <w:t>1 Tx on carrier 1 and 1 Tx on carrier 2</w:t>
            </w:r>
          </w:p>
        </w:tc>
      </w:tr>
      <w:tr w:rsidR="00C666F8" w:rsidRPr="00C666F8" w14:paraId="5805BB57" w14:textId="77777777" w:rsidTr="00606711">
        <w:trPr>
          <w:trHeight w:val="19"/>
          <w:jc w:val="center"/>
        </w:trPr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59B7E0B" w14:textId="77777777" w:rsidR="00C666F8" w:rsidRPr="00C666F8" w:rsidRDefault="00C666F8" w:rsidP="00606711">
            <w:pPr>
              <w:spacing w:after="0"/>
              <w:rPr>
                <w:color w:val="00B0F0"/>
                <w:lang w:val="en-US" w:eastAsia="zh-CN"/>
              </w:rPr>
            </w:pPr>
            <w:r w:rsidRPr="00C666F8">
              <w:rPr>
                <w:color w:val="00B0F0"/>
                <w:kern w:val="24"/>
                <w:lang w:val="en-US" w:eastAsia="zh-CN"/>
              </w:rPr>
              <w:t xml:space="preserve">Case 2 </w:t>
            </w:r>
          </w:p>
        </w:tc>
        <w:tc>
          <w:tcPr>
            <w:tcW w:w="4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93F2F49" w14:textId="77777777" w:rsidR="00C666F8" w:rsidRPr="00C666F8" w:rsidRDefault="00C666F8" w:rsidP="00606711">
            <w:pPr>
              <w:spacing w:after="0"/>
              <w:rPr>
                <w:color w:val="00B0F0"/>
                <w:lang w:val="en-US" w:eastAsia="zh-CN"/>
              </w:rPr>
            </w:pPr>
            <w:r w:rsidRPr="00C666F8">
              <w:rPr>
                <w:color w:val="00B0F0"/>
                <w:kern w:val="24"/>
                <w:lang w:val="en-US" w:eastAsia="zh-CN"/>
              </w:rPr>
              <w:t xml:space="preserve">0 Tx on carrier 1 and 2 Tx on carrier 2 </w:t>
            </w:r>
          </w:p>
        </w:tc>
      </w:tr>
    </w:tbl>
    <w:p w14:paraId="6EF0DECE" w14:textId="77777777" w:rsidR="00C666F8" w:rsidRPr="00C666F8" w:rsidRDefault="00C666F8" w:rsidP="00C666F8">
      <w:pPr>
        <w:pStyle w:val="ListParagraph"/>
        <w:overflowPunct w:val="0"/>
        <w:rPr>
          <w:rFonts w:hint="eastAsia"/>
          <w:color w:val="00B0F0"/>
        </w:rPr>
      </w:pPr>
    </w:p>
    <w:p w14:paraId="29A07BC0" w14:textId="77777777" w:rsidR="00C666F8" w:rsidRPr="00C666F8" w:rsidRDefault="00C666F8" w:rsidP="00C666F8">
      <w:pPr>
        <w:pStyle w:val="ListParagraph"/>
        <w:numPr>
          <w:ilvl w:val="1"/>
          <w:numId w:val="12"/>
        </w:numPr>
        <w:overflowPunct w:val="0"/>
        <w:spacing w:after="0"/>
        <w:contextualSpacing w:val="0"/>
        <w:rPr>
          <w:color w:val="00B0F0"/>
        </w:rPr>
      </w:pPr>
      <w:r w:rsidRPr="00C666F8">
        <w:rPr>
          <w:color w:val="00B0F0"/>
          <w:kern w:val="24"/>
        </w:rPr>
        <w:t>UE RF requirements, e.g., time mask RF requirements and other necessary RF requirements if any</w:t>
      </w:r>
    </w:p>
    <w:p w14:paraId="0CB8326B" w14:textId="77777777" w:rsidR="00C666F8" w:rsidRPr="00C666F8" w:rsidRDefault="00C666F8" w:rsidP="00C666F8">
      <w:pPr>
        <w:pStyle w:val="ListParagraph"/>
        <w:numPr>
          <w:ilvl w:val="2"/>
          <w:numId w:val="12"/>
        </w:numPr>
        <w:overflowPunct w:val="0"/>
        <w:spacing w:after="0"/>
        <w:contextualSpacing w:val="0"/>
        <w:rPr>
          <w:color w:val="00B0F0"/>
        </w:rPr>
      </w:pPr>
      <w:r w:rsidRPr="00C666F8">
        <w:rPr>
          <w:color w:val="00B0F0"/>
          <w:kern w:val="24"/>
        </w:rPr>
        <w:t>The options agreed at RAN4 #92 in R4-1910531 can be considered as starting point</w:t>
      </w:r>
    </w:p>
    <w:p w14:paraId="1172F928" w14:textId="77777777" w:rsidR="00C666F8" w:rsidRPr="00C666F8" w:rsidRDefault="00C666F8" w:rsidP="00C666F8">
      <w:pPr>
        <w:pStyle w:val="ListParagraph"/>
        <w:numPr>
          <w:ilvl w:val="1"/>
          <w:numId w:val="12"/>
        </w:numPr>
        <w:overflowPunct w:val="0"/>
        <w:spacing w:after="0"/>
        <w:contextualSpacing w:val="0"/>
        <w:rPr>
          <w:color w:val="00B0F0"/>
        </w:rPr>
      </w:pPr>
      <w:r w:rsidRPr="00C666F8">
        <w:rPr>
          <w:color w:val="00B0F0"/>
          <w:kern w:val="24"/>
        </w:rPr>
        <w:t>Study if there are any impact to interruption and delay requirements, and specify the RRM requirements if needed</w:t>
      </w:r>
    </w:p>
    <w:p w14:paraId="02CD358C" w14:textId="77777777" w:rsidR="00C666F8" w:rsidRPr="00C666F8" w:rsidRDefault="00C666F8" w:rsidP="00C666F8">
      <w:pPr>
        <w:pStyle w:val="ListParagraph"/>
        <w:numPr>
          <w:ilvl w:val="1"/>
          <w:numId w:val="12"/>
        </w:numPr>
        <w:overflowPunct w:val="0"/>
        <w:spacing w:after="0"/>
        <w:contextualSpacing w:val="0"/>
        <w:rPr>
          <w:color w:val="00B0F0"/>
        </w:rPr>
      </w:pPr>
      <w:r w:rsidRPr="00C666F8">
        <w:rPr>
          <w:color w:val="00B0F0"/>
          <w:kern w:val="24"/>
        </w:rPr>
        <w:t>RAN1 will further study by Dec 2019 if there are any RAN1 potential impacts based on RAN4 LS if any</w:t>
      </w:r>
    </w:p>
    <w:p w14:paraId="158BF050" w14:textId="77777777" w:rsidR="00C666F8" w:rsidRPr="00C666F8" w:rsidRDefault="00C666F8" w:rsidP="00C666F8">
      <w:pPr>
        <w:pStyle w:val="ListParagraph"/>
        <w:numPr>
          <w:ilvl w:val="2"/>
          <w:numId w:val="12"/>
        </w:numPr>
        <w:overflowPunct w:val="0"/>
        <w:spacing w:after="0"/>
        <w:contextualSpacing w:val="0"/>
        <w:rPr>
          <w:color w:val="00B0F0"/>
        </w:rPr>
      </w:pPr>
      <w:r w:rsidRPr="00C666F8">
        <w:rPr>
          <w:color w:val="00B0F0"/>
          <w:kern w:val="24"/>
        </w:rPr>
        <w:t xml:space="preserve">No new TDM pattern will be defined, i.e. scheduling-based switching is assumed. </w:t>
      </w:r>
    </w:p>
    <w:p w14:paraId="348EE63C" w14:textId="77777777" w:rsidR="00C666F8" w:rsidRPr="00C666F8" w:rsidRDefault="00C666F8" w:rsidP="00C666F8">
      <w:pPr>
        <w:pStyle w:val="ListParagraph"/>
        <w:numPr>
          <w:ilvl w:val="2"/>
          <w:numId w:val="12"/>
        </w:numPr>
        <w:overflowPunct w:val="0"/>
        <w:spacing w:after="0"/>
        <w:contextualSpacing w:val="0"/>
        <w:rPr>
          <w:color w:val="00B0F0"/>
        </w:rPr>
      </w:pPr>
      <w:r w:rsidRPr="00C666F8">
        <w:rPr>
          <w:color w:val="00B0F0"/>
          <w:kern w:val="24"/>
        </w:rPr>
        <w:t xml:space="preserve">Finalization of RAN4 requirements and approval of RAN4 CRs shall be based on RAN1 LS  </w:t>
      </w:r>
    </w:p>
    <w:p w14:paraId="69236CFA" w14:textId="77777777" w:rsidR="00C666F8" w:rsidRPr="00C666F8" w:rsidRDefault="00C666F8" w:rsidP="00C666F8">
      <w:pPr>
        <w:pStyle w:val="ListParagraph"/>
        <w:numPr>
          <w:ilvl w:val="2"/>
          <w:numId w:val="12"/>
        </w:numPr>
        <w:overflowPunct w:val="0"/>
        <w:spacing w:after="0"/>
        <w:contextualSpacing w:val="0"/>
        <w:rPr>
          <w:color w:val="00B0F0"/>
        </w:rPr>
      </w:pPr>
      <w:r w:rsidRPr="00C666F8">
        <w:rPr>
          <w:color w:val="00B0F0"/>
          <w:kern w:val="24"/>
        </w:rPr>
        <w:t xml:space="preserve">Strive to minimize RAN1 impact. </w:t>
      </w:r>
    </w:p>
    <w:p w14:paraId="0F18A337" w14:textId="77777777" w:rsidR="00C666F8" w:rsidRPr="00C666F8" w:rsidRDefault="00C666F8" w:rsidP="00C666F8">
      <w:pPr>
        <w:pStyle w:val="ListParagraph"/>
        <w:numPr>
          <w:ilvl w:val="2"/>
          <w:numId w:val="12"/>
        </w:numPr>
        <w:overflowPunct w:val="0"/>
        <w:spacing w:after="0"/>
        <w:contextualSpacing w:val="0"/>
        <w:rPr>
          <w:color w:val="00B0F0"/>
        </w:rPr>
      </w:pPr>
      <w:r w:rsidRPr="00C666F8">
        <w:rPr>
          <w:color w:val="00B0F0"/>
          <w:kern w:val="24"/>
        </w:rPr>
        <w:t xml:space="preserve">Strive to achieve no impact to RAN1 E-UTRAN spec </w:t>
      </w:r>
    </w:p>
    <w:p w14:paraId="3F3A3A24" w14:textId="77777777" w:rsidR="00C666F8" w:rsidRPr="00C666F8" w:rsidRDefault="00C666F8" w:rsidP="00C666F8">
      <w:pPr>
        <w:pStyle w:val="ListParagraph"/>
        <w:numPr>
          <w:ilvl w:val="2"/>
          <w:numId w:val="12"/>
        </w:numPr>
        <w:overflowPunct w:val="0"/>
        <w:spacing w:after="0"/>
        <w:contextualSpacing w:val="0"/>
        <w:rPr>
          <w:color w:val="00B0F0"/>
        </w:rPr>
      </w:pPr>
      <w:r w:rsidRPr="00C666F8">
        <w:rPr>
          <w:color w:val="00B0F0"/>
          <w:kern w:val="24"/>
        </w:rPr>
        <w:t xml:space="preserve">Strive to avoid defining location of switching period impacting RAN1 spec </w:t>
      </w:r>
    </w:p>
    <w:p w14:paraId="37D543A8" w14:textId="77777777" w:rsidR="00C666F8" w:rsidRPr="00C666F8" w:rsidRDefault="00C666F8" w:rsidP="00C666F8">
      <w:pPr>
        <w:pStyle w:val="ListParagraph"/>
        <w:numPr>
          <w:ilvl w:val="1"/>
          <w:numId w:val="12"/>
        </w:numPr>
        <w:overflowPunct w:val="0"/>
        <w:spacing w:after="0"/>
        <w:contextualSpacing w:val="0"/>
        <w:rPr>
          <w:color w:val="00B0F0"/>
        </w:rPr>
      </w:pPr>
      <w:r w:rsidRPr="00C666F8">
        <w:rPr>
          <w:color w:val="00B0F0"/>
          <w:kern w:val="24"/>
        </w:rPr>
        <w:t xml:space="preserve">Define per band per band combination or per band combination UE capability </w:t>
      </w:r>
      <w:proofErr w:type="spellStart"/>
      <w:r w:rsidRPr="00C666F8">
        <w:rPr>
          <w:color w:val="00B0F0"/>
          <w:kern w:val="24"/>
        </w:rPr>
        <w:t>signaling</w:t>
      </w:r>
      <w:proofErr w:type="spellEnd"/>
      <w:r w:rsidRPr="00C666F8">
        <w:rPr>
          <w:color w:val="00B0F0"/>
          <w:kern w:val="24"/>
        </w:rPr>
        <w:t xml:space="preserve"> if needed</w:t>
      </w:r>
    </w:p>
    <w:p w14:paraId="0B914FF0" w14:textId="77777777" w:rsidR="00C666F8" w:rsidRPr="00C666F8" w:rsidRDefault="00C666F8" w:rsidP="00C666F8">
      <w:pPr>
        <w:pStyle w:val="NormalWeb"/>
        <w:overflowPunct w:val="0"/>
        <w:spacing w:before="58" w:after="0"/>
        <w:ind w:leftChars="260" w:left="966" w:hanging="446"/>
        <w:rPr>
          <w:rFonts w:ascii="Times New Roman" w:hAnsi="Times New Roman" w:cs="Times New Roman"/>
          <w:color w:val="00B0F0"/>
          <w:sz w:val="20"/>
          <w:szCs w:val="20"/>
        </w:rPr>
      </w:pPr>
      <w:r w:rsidRPr="00C666F8">
        <w:rPr>
          <w:rFonts w:ascii="Times New Roman" w:hAnsi="Times New Roman" w:cs="Times New Roman"/>
          <w:color w:val="00B0F0"/>
          <w:kern w:val="24"/>
          <w:sz w:val="20"/>
          <w:szCs w:val="20"/>
        </w:rPr>
        <w:t>Note 1: Only addressing the case of co-located and synchronized network deployment for the two UL carriers</w:t>
      </w:r>
    </w:p>
    <w:p w14:paraId="60B45DBD" w14:textId="77777777" w:rsidR="00C666F8" w:rsidRPr="00C666F8" w:rsidRDefault="00C666F8" w:rsidP="00C666F8">
      <w:pPr>
        <w:pStyle w:val="NormalWeb"/>
        <w:overflowPunct w:val="0"/>
        <w:spacing w:before="58" w:after="0"/>
        <w:ind w:leftChars="260" w:left="966" w:hanging="446"/>
        <w:rPr>
          <w:rFonts w:ascii="Times New Roman" w:hAnsi="Times New Roman" w:cs="Times New Roman"/>
          <w:color w:val="00B0F0"/>
          <w:sz w:val="20"/>
          <w:szCs w:val="20"/>
        </w:rPr>
      </w:pPr>
      <w:r w:rsidRPr="00C666F8">
        <w:rPr>
          <w:rFonts w:ascii="Times New Roman" w:hAnsi="Times New Roman" w:cs="Times New Roman"/>
          <w:color w:val="00B0F0"/>
          <w:kern w:val="24"/>
          <w:sz w:val="20"/>
          <w:szCs w:val="20"/>
        </w:rPr>
        <w:t>Note 2:  Only addressing the case of single TAG for the two UL carriers for SUL and for UL CA</w:t>
      </w:r>
    </w:p>
    <w:p w14:paraId="027CF44E" w14:textId="77777777" w:rsidR="00C666F8" w:rsidRPr="00C666F8" w:rsidRDefault="00C666F8" w:rsidP="00C666F8">
      <w:pPr>
        <w:pStyle w:val="NormalWeb"/>
        <w:overflowPunct w:val="0"/>
        <w:spacing w:before="58" w:after="0"/>
        <w:ind w:leftChars="260" w:left="966" w:hanging="446"/>
        <w:rPr>
          <w:rFonts w:ascii="Times New Roman" w:hAnsi="Times New Roman" w:cs="Times New Roman"/>
          <w:color w:val="00B0F0"/>
          <w:sz w:val="20"/>
          <w:szCs w:val="20"/>
        </w:rPr>
      </w:pPr>
      <w:r w:rsidRPr="00C666F8">
        <w:rPr>
          <w:rFonts w:ascii="Times New Roman" w:hAnsi="Times New Roman" w:cs="Times New Roman"/>
          <w:color w:val="00B0F0"/>
          <w:kern w:val="24"/>
          <w:sz w:val="20"/>
          <w:szCs w:val="20"/>
        </w:rPr>
        <w:t>Note 3:  The above objectives will not relax the existing requirements specified in Rel-15 38.101-3 for band combinations allowing single uplink transmission</w:t>
      </w:r>
    </w:p>
    <w:p w14:paraId="0EB5033F" w14:textId="77777777" w:rsidR="00C666F8" w:rsidRPr="00C666F8" w:rsidRDefault="00C666F8" w:rsidP="00C666F8">
      <w:pPr>
        <w:pStyle w:val="NormalWeb"/>
        <w:overflowPunct w:val="0"/>
        <w:spacing w:before="58" w:after="0"/>
        <w:ind w:leftChars="260" w:left="966" w:hanging="446"/>
        <w:rPr>
          <w:rFonts w:ascii="Times New Roman" w:hAnsi="Times New Roman" w:cs="Times New Roman"/>
          <w:color w:val="00B0F0"/>
          <w:sz w:val="20"/>
          <w:szCs w:val="20"/>
        </w:rPr>
      </w:pPr>
      <w:r w:rsidRPr="00C666F8">
        <w:rPr>
          <w:rFonts w:ascii="Times New Roman" w:hAnsi="Times New Roman" w:cs="Times New Roman"/>
          <w:color w:val="00B0F0"/>
          <w:kern w:val="24"/>
          <w:sz w:val="20"/>
          <w:szCs w:val="20"/>
        </w:rPr>
        <w:t>Note 4: The UE is configured with two different uplink carrier frequencies.</w:t>
      </w:r>
    </w:p>
    <w:p w14:paraId="514A3020" w14:textId="77777777" w:rsidR="00C666F8" w:rsidRDefault="00C666F8" w:rsidP="00C666F8">
      <w:pPr>
        <w:jc w:val="both"/>
        <w:rPr>
          <w:rFonts w:eastAsia="MS Mincho"/>
          <w:lang w:val="en-US" w:eastAsia="ja-JP"/>
        </w:rPr>
      </w:pPr>
    </w:p>
    <w:p w14:paraId="3D760808" w14:textId="724EE7C6" w:rsidR="00C666F8" w:rsidRPr="00335412" w:rsidRDefault="00C666F8" w:rsidP="00E72324">
      <w:pPr>
        <w:rPr>
          <w:lang w:val="en-US"/>
        </w:rPr>
      </w:pPr>
      <w:r w:rsidRPr="00335412">
        <w:rPr>
          <w:lang w:val="en-US"/>
        </w:rPr>
        <w:t xml:space="preserve">This explicitly says “No new TDM pattern will be defined, i.e. scheduling-based switching is assumed”. To enable this scheduling based switching, the </w:t>
      </w:r>
      <w:proofErr w:type="spellStart"/>
      <w:r w:rsidRPr="00335412">
        <w:rPr>
          <w:lang w:val="en-US"/>
        </w:rPr>
        <w:t>basestations</w:t>
      </w:r>
      <w:proofErr w:type="spellEnd"/>
      <w:r w:rsidRPr="00335412">
        <w:rPr>
          <w:lang w:val="en-US"/>
        </w:rPr>
        <w:t xml:space="preserve"> transmitting the two carriers need to be </w:t>
      </w:r>
      <w:r w:rsidR="004C163B">
        <w:rPr>
          <w:lang w:val="en-US"/>
        </w:rPr>
        <w:t xml:space="preserve">fully </w:t>
      </w:r>
      <w:r w:rsidRPr="00335412">
        <w:rPr>
          <w:lang w:val="en-US"/>
        </w:rPr>
        <w:t xml:space="preserve">synchronized. For synchronized </w:t>
      </w:r>
      <w:proofErr w:type="spellStart"/>
      <w:r w:rsidRPr="00335412">
        <w:rPr>
          <w:lang w:val="en-US"/>
        </w:rPr>
        <w:t>basestations</w:t>
      </w:r>
      <w:proofErr w:type="spellEnd"/>
      <w:r w:rsidR="00F35EFA" w:rsidRPr="00335412">
        <w:rPr>
          <w:lang w:val="en-US"/>
        </w:rPr>
        <w:t xml:space="preserve"> we can also enable scheduling based switching between two other cases:</w:t>
      </w:r>
    </w:p>
    <w:p w14:paraId="6C9CA8EB" w14:textId="15D44128" w:rsidR="00F35EFA" w:rsidRPr="00335412" w:rsidRDefault="00F35EFA" w:rsidP="00E72324">
      <w:pPr>
        <w:rPr>
          <w:lang w:val="en-US"/>
        </w:rPr>
      </w:pPr>
      <w:r w:rsidRPr="00335412">
        <w:rPr>
          <w:lang w:val="en-US"/>
        </w:rPr>
        <w:t>Case A: 1 Tx on carrier 1 and 0 Tx on carrier 2</w:t>
      </w:r>
    </w:p>
    <w:p w14:paraId="65516A1D" w14:textId="1874DBBB" w:rsidR="00F35EFA" w:rsidRPr="00335412" w:rsidRDefault="00F35EFA" w:rsidP="00F35EFA">
      <w:pPr>
        <w:rPr>
          <w:lang w:val="en-US"/>
        </w:rPr>
      </w:pPr>
      <w:r w:rsidRPr="00335412">
        <w:rPr>
          <w:lang w:val="en-US"/>
        </w:rPr>
        <w:t xml:space="preserve">Case </w:t>
      </w:r>
      <w:r w:rsidRPr="00335412">
        <w:rPr>
          <w:lang w:val="en-US"/>
        </w:rPr>
        <w:t>B</w:t>
      </w:r>
      <w:r w:rsidRPr="00335412">
        <w:rPr>
          <w:lang w:val="en-US"/>
        </w:rPr>
        <w:t xml:space="preserve">: </w:t>
      </w:r>
      <w:r w:rsidRPr="00335412">
        <w:rPr>
          <w:lang w:val="en-US"/>
        </w:rPr>
        <w:t>0</w:t>
      </w:r>
      <w:r w:rsidRPr="00335412">
        <w:rPr>
          <w:lang w:val="en-US"/>
        </w:rPr>
        <w:t xml:space="preserve"> Tx on carrier 1 and </w:t>
      </w:r>
      <w:r w:rsidRPr="00335412">
        <w:rPr>
          <w:lang w:val="en-US"/>
        </w:rPr>
        <w:t>1</w:t>
      </w:r>
      <w:r w:rsidRPr="00335412">
        <w:rPr>
          <w:lang w:val="en-US"/>
        </w:rPr>
        <w:t xml:space="preserve"> Tx on carrier 2</w:t>
      </w:r>
    </w:p>
    <w:p w14:paraId="638EAA53" w14:textId="67CEEDF7" w:rsidR="00C666F8" w:rsidRPr="00335412" w:rsidRDefault="00F35EFA" w:rsidP="00E72324">
      <w:pPr>
        <w:rPr>
          <w:lang w:val="en-US"/>
        </w:rPr>
      </w:pPr>
      <w:r w:rsidRPr="00335412">
        <w:rPr>
          <w:lang w:val="en-US"/>
        </w:rPr>
        <w:lastRenderedPageBreak/>
        <w:t xml:space="preserve">This would enable a big simplification in the RF frontend as has been explained in [2]. Therefore we propose to add </w:t>
      </w:r>
      <w:r w:rsidR="004F10A0" w:rsidRPr="00335412">
        <w:rPr>
          <w:lang w:val="en-US"/>
        </w:rPr>
        <w:t xml:space="preserve">the scheduling based </w:t>
      </w:r>
      <w:r w:rsidRPr="00335412">
        <w:rPr>
          <w:lang w:val="en-US"/>
        </w:rPr>
        <w:t xml:space="preserve">switching between Case A and Case B </w:t>
      </w:r>
      <w:r w:rsidR="004F10A0" w:rsidRPr="00335412">
        <w:rPr>
          <w:lang w:val="en-US"/>
        </w:rPr>
        <w:t>and define an optional capability of the UE, that it can only switch the TX between the two cases.</w:t>
      </w:r>
    </w:p>
    <w:p w14:paraId="27EB57C4" w14:textId="6D0336F7" w:rsidR="004F10A0" w:rsidRPr="00335412" w:rsidRDefault="00335412" w:rsidP="00335412">
      <w:pPr>
        <w:pStyle w:val="TOC1"/>
        <w:rPr>
          <w:noProof/>
        </w:rPr>
      </w:pPr>
      <w:r w:rsidRPr="00335412">
        <w:rPr>
          <w:noProof/>
        </w:rPr>
        <w:t xml:space="preserve">Proposal </w:t>
      </w:r>
      <w:r w:rsidRPr="00335412">
        <w:rPr>
          <w:noProof/>
        </w:rPr>
        <w:t>1</w:t>
      </w:r>
      <w:r w:rsidRPr="00335412">
        <w:rPr>
          <w:noProof/>
        </w:rPr>
        <w:t>:</w:t>
      </w:r>
      <w:r w:rsidRPr="00335412">
        <w:rPr>
          <w:noProof/>
        </w:rPr>
        <w:tab/>
      </w:r>
      <w:r w:rsidRPr="00335412">
        <w:rPr>
          <w:noProof/>
        </w:rPr>
        <w:t>Specify</w:t>
      </w:r>
      <w:r w:rsidRPr="00335412">
        <w:rPr>
          <w:noProof/>
        </w:rPr>
        <w:t xml:space="preserve"> scheduling based switching</w:t>
      </w:r>
      <w:r w:rsidRPr="00335412">
        <w:rPr>
          <w:noProof/>
        </w:rPr>
        <w:t xml:space="preserve"> for</w:t>
      </w:r>
      <w:r w:rsidRPr="00335412">
        <w:rPr>
          <w:noProof/>
        </w:rPr>
        <w:t xml:space="preserve"> </w:t>
      </w:r>
      <w:r w:rsidRPr="00335412">
        <w:rPr>
          <w:noProof/>
          <w:lang w:val="en-US"/>
        </w:rPr>
        <w:t>Case A: 1 Tx on carrier 1 and 0 Tx on carrier 2 and Case B: 0 Tx on carrier 1 and 1 Tx on carrier 2</w:t>
      </w:r>
    </w:p>
    <w:p w14:paraId="3E8A7B47" w14:textId="15015ED2" w:rsidR="004F10A0" w:rsidRPr="00335412" w:rsidRDefault="004F10A0" w:rsidP="004F10A0">
      <w:pPr>
        <w:pStyle w:val="TOC1"/>
        <w:rPr>
          <w:noProof/>
        </w:rPr>
      </w:pPr>
      <w:r w:rsidRPr="00335412">
        <w:rPr>
          <w:noProof/>
        </w:rPr>
        <w:t>Proposal 2:</w:t>
      </w:r>
      <w:r w:rsidRPr="00335412">
        <w:rPr>
          <w:noProof/>
        </w:rPr>
        <w:tab/>
      </w:r>
      <w:r w:rsidRPr="00335412">
        <w:rPr>
          <w:noProof/>
        </w:rPr>
        <w:t xml:space="preserve">Define a new optional capability </w:t>
      </w:r>
      <w:r w:rsidR="00335412" w:rsidRPr="00335412">
        <w:rPr>
          <w:noProof/>
        </w:rPr>
        <w:t xml:space="preserve">per band combination </w:t>
      </w:r>
      <w:r w:rsidRPr="00335412">
        <w:rPr>
          <w:noProof/>
        </w:rPr>
        <w:t xml:space="preserve">for EN-DC in Rel. 16 for scheduling based switching: </w:t>
      </w:r>
    </w:p>
    <w:p w14:paraId="286AB416" w14:textId="77777777" w:rsidR="004F10A0" w:rsidRPr="00335412" w:rsidRDefault="004F10A0" w:rsidP="004F10A0">
      <w:pPr>
        <w:pStyle w:val="TOC1"/>
        <w:rPr>
          <w:noProof/>
        </w:rPr>
      </w:pPr>
      <w:r w:rsidRPr="00335412">
        <w:rPr>
          <w:noProof/>
        </w:rPr>
        <w:tab/>
        <w:t>0: normal EN-DC operation</w:t>
      </w:r>
    </w:p>
    <w:p w14:paraId="5A187C19" w14:textId="6B5B9771" w:rsidR="004F10A0" w:rsidRPr="00335412" w:rsidRDefault="004F10A0" w:rsidP="004F10A0">
      <w:pPr>
        <w:pStyle w:val="TOC1"/>
        <w:rPr>
          <w:noProof/>
          <w:lang w:val="en-US"/>
        </w:rPr>
      </w:pPr>
      <w:r w:rsidRPr="00335412">
        <w:rPr>
          <w:noProof/>
        </w:rPr>
        <w:tab/>
        <w:t xml:space="preserve">1: the UE can only do EN-DC with </w:t>
      </w:r>
      <w:r w:rsidRPr="00335412">
        <w:rPr>
          <w:noProof/>
          <w:lang w:val="en-US"/>
        </w:rPr>
        <w:t>Case A: 1 Tx on carrier 1 and 0 Tx on carrier 2 and Case B: 0 Tx on carrier 1 and 1 Tx on carrier 2</w:t>
      </w:r>
      <w:r w:rsidR="004C163B">
        <w:rPr>
          <w:noProof/>
          <w:lang w:val="en-US"/>
        </w:rPr>
        <w:t>, i.e. Dual Uplink is not supported</w:t>
      </w:r>
    </w:p>
    <w:p w14:paraId="4F7194CF" w14:textId="77777777" w:rsidR="00E3192D" w:rsidRPr="00335412" w:rsidRDefault="00E3192D" w:rsidP="004B2602">
      <w:pPr>
        <w:pStyle w:val="TOC1"/>
        <w:rPr>
          <w:noProof/>
        </w:rPr>
      </w:pPr>
    </w:p>
    <w:p w14:paraId="34C99636" w14:textId="77777777" w:rsidR="008E7986" w:rsidRPr="00335412" w:rsidRDefault="008E7986" w:rsidP="008E7986">
      <w:pPr>
        <w:pStyle w:val="Heading1"/>
      </w:pPr>
      <w:r w:rsidRPr="00335412">
        <w:t>3</w:t>
      </w:r>
      <w:r w:rsidRPr="00335412">
        <w:tab/>
        <w:t>Conclusions</w:t>
      </w:r>
    </w:p>
    <w:p w14:paraId="001A58A1" w14:textId="76ED17B4" w:rsidR="00E72324" w:rsidRPr="00335412" w:rsidRDefault="009F6F20" w:rsidP="00E72324">
      <w:r w:rsidRPr="00335412">
        <w:t>We draw the following conclusions:</w:t>
      </w:r>
      <w:r w:rsidR="00E72324" w:rsidRPr="00335412">
        <w:t xml:space="preserve"> </w:t>
      </w:r>
    </w:p>
    <w:p w14:paraId="22C89B80" w14:textId="77777777" w:rsidR="00335412" w:rsidRPr="00335412" w:rsidRDefault="00335412" w:rsidP="00335412">
      <w:pPr>
        <w:pStyle w:val="TOC1"/>
        <w:rPr>
          <w:noProof/>
        </w:rPr>
      </w:pPr>
      <w:r w:rsidRPr="00335412">
        <w:rPr>
          <w:noProof/>
        </w:rPr>
        <w:t>Proposal 1:</w:t>
      </w:r>
      <w:r w:rsidRPr="00335412">
        <w:rPr>
          <w:noProof/>
        </w:rPr>
        <w:tab/>
        <w:t xml:space="preserve">Define scheduling based switching for </w:t>
      </w:r>
      <w:r w:rsidRPr="00335412">
        <w:rPr>
          <w:noProof/>
          <w:lang w:val="en-US"/>
        </w:rPr>
        <w:t>Case A: 1 Tx on carrier 1 and 0 Tx on carrier 2 and Case B: 0 Tx on carrier 1 and 1 Tx on carrier 2</w:t>
      </w:r>
    </w:p>
    <w:p w14:paraId="05023254" w14:textId="77777777" w:rsidR="00335412" w:rsidRPr="00335412" w:rsidRDefault="00335412" w:rsidP="00335412">
      <w:pPr>
        <w:pStyle w:val="TOC1"/>
        <w:rPr>
          <w:noProof/>
        </w:rPr>
      </w:pPr>
      <w:r w:rsidRPr="00335412">
        <w:rPr>
          <w:noProof/>
        </w:rPr>
        <w:t>Proposal 2:</w:t>
      </w:r>
      <w:r w:rsidRPr="00335412">
        <w:rPr>
          <w:noProof/>
        </w:rPr>
        <w:tab/>
        <w:t xml:space="preserve">Define a new optional capability for EN-DC in Rel. 16 for scheduling based switching: </w:t>
      </w:r>
    </w:p>
    <w:p w14:paraId="4051762A" w14:textId="77777777" w:rsidR="00335412" w:rsidRPr="00335412" w:rsidRDefault="00335412" w:rsidP="00335412">
      <w:pPr>
        <w:pStyle w:val="TOC1"/>
        <w:rPr>
          <w:noProof/>
        </w:rPr>
      </w:pPr>
      <w:r w:rsidRPr="00335412">
        <w:rPr>
          <w:noProof/>
        </w:rPr>
        <w:tab/>
        <w:t>0: normal EN-DC operation</w:t>
      </w:r>
    </w:p>
    <w:p w14:paraId="102F0533" w14:textId="751A9C4B" w:rsidR="00335412" w:rsidRPr="00335412" w:rsidRDefault="00335412" w:rsidP="00335412">
      <w:pPr>
        <w:pStyle w:val="TOC1"/>
        <w:rPr>
          <w:noProof/>
          <w:lang w:val="en-US"/>
        </w:rPr>
      </w:pPr>
      <w:r w:rsidRPr="00335412">
        <w:rPr>
          <w:noProof/>
        </w:rPr>
        <w:tab/>
        <w:t xml:space="preserve">1: the UE can only do EN-DC with </w:t>
      </w:r>
      <w:r w:rsidRPr="00335412">
        <w:rPr>
          <w:noProof/>
          <w:lang w:val="en-US"/>
        </w:rPr>
        <w:t>Case A: 1 Tx on carrier 1 and 0 Tx on carrier 2 and Case B: 0 Tx on carrier 1 and 1 Tx on carrier 2</w:t>
      </w:r>
      <w:r w:rsidR="004C163B">
        <w:rPr>
          <w:noProof/>
          <w:lang w:val="en-US"/>
        </w:rPr>
        <w:t>, i.e. Dual Uplink is not supported</w:t>
      </w:r>
      <w:bookmarkStart w:id="1" w:name="_GoBack"/>
      <w:bookmarkEnd w:id="1"/>
    </w:p>
    <w:p w14:paraId="514B60E4" w14:textId="77777777" w:rsidR="00D741FE" w:rsidRPr="00335412" w:rsidRDefault="00D741FE" w:rsidP="00E72324">
      <w:pPr>
        <w:rPr>
          <w:lang w:val="en-US"/>
        </w:rPr>
      </w:pPr>
    </w:p>
    <w:bookmarkEnd w:id="0"/>
    <w:p w14:paraId="446075F6" w14:textId="77777777" w:rsidR="001A4A9A" w:rsidRPr="00335412" w:rsidRDefault="001A4A9A" w:rsidP="001A4A9A">
      <w:pPr>
        <w:pStyle w:val="Heading1"/>
      </w:pPr>
      <w:r w:rsidRPr="00335412">
        <w:t>4</w:t>
      </w:r>
      <w:r w:rsidRPr="00335412">
        <w:tab/>
        <w:t>References</w:t>
      </w:r>
    </w:p>
    <w:p w14:paraId="439A33A3" w14:textId="2BBD71D3" w:rsidR="001A4A9A" w:rsidRPr="00335412" w:rsidRDefault="00F35EFA" w:rsidP="001A4A9A">
      <w:pPr>
        <w:pStyle w:val="EX"/>
        <w:numPr>
          <w:ilvl w:val="0"/>
          <w:numId w:val="5"/>
        </w:numPr>
      </w:pPr>
      <w:bookmarkStart w:id="2" w:name="_Ref13820109"/>
      <w:r w:rsidRPr="00335412">
        <w:t>RP</w:t>
      </w:r>
      <w:r w:rsidRPr="00335412">
        <w:rPr>
          <w:rFonts w:ascii="Cambria Math" w:hAnsi="Cambria Math" w:cs="Cambria Math"/>
        </w:rPr>
        <w:t>‑</w:t>
      </w:r>
      <w:r w:rsidRPr="00335412">
        <w:t xml:space="preserve">192282, “WID revision: RF requirements for NR frequency range 1 (FR1)”, Huawei, </w:t>
      </w:r>
      <w:proofErr w:type="spellStart"/>
      <w:r w:rsidRPr="00335412">
        <w:t>HiSilicon</w:t>
      </w:r>
      <w:proofErr w:type="spellEnd"/>
      <w:r w:rsidRPr="00335412">
        <w:t>, China Telecom</w:t>
      </w:r>
    </w:p>
    <w:p w14:paraId="1DC47CF4" w14:textId="2A1828A1" w:rsidR="00F35EFA" w:rsidRPr="00335412" w:rsidRDefault="00F35EFA" w:rsidP="001A4A9A">
      <w:pPr>
        <w:pStyle w:val="EX"/>
        <w:numPr>
          <w:ilvl w:val="0"/>
          <w:numId w:val="5"/>
        </w:numPr>
      </w:pPr>
      <w:r w:rsidRPr="00335412">
        <w:t>R4-1805411, “The need of FR1 single-switched UL for EN-DC”, Apple</w:t>
      </w:r>
    </w:p>
    <w:bookmarkEnd w:id="2"/>
    <w:p w14:paraId="16E7597B" w14:textId="77777777" w:rsidR="001A4A9A" w:rsidRPr="00335412" w:rsidRDefault="001A4A9A" w:rsidP="00E72324"/>
    <w:sectPr w:rsidR="001A4A9A" w:rsidRPr="00335412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F5C9EEC" w14:textId="77777777" w:rsidR="00BD1818" w:rsidRDefault="00BD1818">
      <w:r>
        <w:separator/>
      </w:r>
    </w:p>
  </w:endnote>
  <w:endnote w:type="continuationSeparator" w:id="0">
    <w:p w14:paraId="275F945E" w14:textId="77777777" w:rsidR="00BD1818" w:rsidRDefault="00BD18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altName w:val="Arial"/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077316" w14:textId="227602B4" w:rsidR="00E72324" w:rsidRDefault="00E72324">
    <w:pPr>
      <w:pStyle w:val="Footer"/>
    </w:pPr>
    <w:r>
      <w:t>Apple Inc.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1B7C68F" w14:textId="77777777" w:rsidR="00BD1818" w:rsidRDefault="00BD1818">
      <w:r>
        <w:separator/>
      </w:r>
    </w:p>
  </w:footnote>
  <w:footnote w:type="continuationSeparator" w:id="0">
    <w:p w14:paraId="58AAD137" w14:textId="77777777" w:rsidR="00BD1818" w:rsidRDefault="00BD181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38069BD"/>
    <w:multiLevelType w:val="hybridMultilevel"/>
    <w:tmpl w:val="80908D3C"/>
    <w:lvl w:ilvl="0" w:tplc="5E22C74A">
      <w:start w:val="1"/>
      <w:numFmt w:val="decimal"/>
      <w:pStyle w:val="EX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A13F4A"/>
    <w:multiLevelType w:val="hybridMultilevel"/>
    <w:tmpl w:val="0D340948"/>
    <w:lvl w:ilvl="0" w:tplc="5F5E32B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23355193"/>
    <w:multiLevelType w:val="hybridMultilevel"/>
    <w:tmpl w:val="71983B92"/>
    <w:lvl w:ilvl="0" w:tplc="FFFFFFFF">
      <w:start w:val="1"/>
      <w:numFmt w:val="bullet"/>
      <w:lvlText w:val=""/>
      <w:lvlJc w:val="left"/>
      <w:pPr>
        <w:ind w:left="405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)"/>
      <w:lvlJc w:val="left"/>
      <w:pPr>
        <w:ind w:left="885" w:hanging="420"/>
      </w:pPr>
    </w:lvl>
    <w:lvl w:ilvl="2" w:tplc="0409001B">
      <w:start w:val="1"/>
      <w:numFmt w:val="lowerRoman"/>
      <w:lvlText w:val="%3."/>
      <w:lvlJc w:val="right"/>
      <w:pPr>
        <w:ind w:left="1305" w:hanging="420"/>
      </w:pPr>
    </w:lvl>
    <w:lvl w:ilvl="3" w:tplc="0409000F" w:tentative="1">
      <w:start w:val="1"/>
      <w:numFmt w:val="decimal"/>
      <w:lvlText w:val="%4."/>
      <w:lvlJc w:val="left"/>
      <w:pPr>
        <w:ind w:left="1725" w:hanging="420"/>
      </w:pPr>
    </w:lvl>
    <w:lvl w:ilvl="4" w:tplc="04090019" w:tentative="1">
      <w:start w:val="1"/>
      <w:numFmt w:val="lowerLetter"/>
      <w:lvlText w:val="%5)"/>
      <w:lvlJc w:val="left"/>
      <w:pPr>
        <w:ind w:left="2145" w:hanging="420"/>
      </w:pPr>
    </w:lvl>
    <w:lvl w:ilvl="5" w:tplc="0409001B" w:tentative="1">
      <w:start w:val="1"/>
      <w:numFmt w:val="lowerRoman"/>
      <w:lvlText w:val="%6."/>
      <w:lvlJc w:val="right"/>
      <w:pPr>
        <w:ind w:left="2565" w:hanging="420"/>
      </w:pPr>
    </w:lvl>
    <w:lvl w:ilvl="6" w:tplc="0409000F" w:tentative="1">
      <w:start w:val="1"/>
      <w:numFmt w:val="decimal"/>
      <w:lvlText w:val="%7."/>
      <w:lvlJc w:val="left"/>
      <w:pPr>
        <w:ind w:left="2985" w:hanging="420"/>
      </w:pPr>
    </w:lvl>
    <w:lvl w:ilvl="7" w:tplc="04090019" w:tentative="1">
      <w:start w:val="1"/>
      <w:numFmt w:val="lowerLetter"/>
      <w:lvlText w:val="%8)"/>
      <w:lvlJc w:val="left"/>
      <w:pPr>
        <w:ind w:left="3405" w:hanging="420"/>
      </w:pPr>
    </w:lvl>
    <w:lvl w:ilvl="8" w:tplc="0409001B" w:tentative="1">
      <w:start w:val="1"/>
      <w:numFmt w:val="lowerRoman"/>
      <w:lvlText w:val="%9."/>
      <w:lvlJc w:val="right"/>
      <w:pPr>
        <w:ind w:left="3825" w:hanging="420"/>
      </w:pPr>
    </w:lvl>
  </w:abstractNum>
  <w:abstractNum w:abstractNumId="5" w15:restartNumberingAfterBreak="0">
    <w:nsid w:val="2B3C4CB6"/>
    <w:multiLevelType w:val="hybridMultilevel"/>
    <w:tmpl w:val="6108D6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D660B2"/>
    <w:multiLevelType w:val="hybridMultilevel"/>
    <w:tmpl w:val="9F54DD70"/>
    <w:lvl w:ilvl="0" w:tplc="CCBC03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C044ADC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C406BF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AA489D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93028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952FCE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58856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3B0CA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046A0D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3B50217B"/>
    <w:multiLevelType w:val="multilevel"/>
    <w:tmpl w:val="9D88D010"/>
    <w:lvl w:ilvl="0">
      <w:start w:val="1"/>
      <w:numFmt w:val="decimal"/>
      <w:lvlText w:val="[%1]"/>
      <w:lvlJc w:val="left"/>
      <w:pPr>
        <w:ind w:left="100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8"/>
  </w:num>
  <w:num w:numId="5">
    <w:abstractNumId w:val="2"/>
  </w:num>
  <w:num w:numId="6">
    <w:abstractNumId w:val="2"/>
  </w:num>
  <w:num w:numId="7">
    <w:abstractNumId w:val="7"/>
  </w:num>
  <w:num w:numId="8">
    <w:abstractNumId w:val="3"/>
  </w:num>
  <w:num w:numId="9">
    <w:abstractNumId w:val="5"/>
  </w:num>
  <w:num w:numId="10">
    <w:abstractNumId w:val="2"/>
  </w:num>
  <w:num w:numId="11">
    <w:abstractNumId w:val="4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25CDD"/>
    <w:rsid w:val="00033397"/>
    <w:rsid w:val="00040095"/>
    <w:rsid w:val="00051834"/>
    <w:rsid w:val="00054A22"/>
    <w:rsid w:val="00062023"/>
    <w:rsid w:val="000655A6"/>
    <w:rsid w:val="00080512"/>
    <w:rsid w:val="0009755D"/>
    <w:rsid w:val="000A365D"/>
    <w:rsid w:val="000C47C3"/>
    <w:rsid w:val="000D58AB"/>
    <w:rsid w:val="00104BC6"/>
    <w:rsid w:val="00122B1F"/>
    <w:rsid w:val="00133525"/>
    <w:rsid w:val="001A4A9A"/>
    <w:rsid w:val="001A4C42"/>
    <w:rsid w:val="001C21C3"/>
    <w:rsid w:val="001D02C2"/>
    <w:rsid w:val="001F0C1D"/>
    <w:rsid w:val="001F1132"/>
    <w:rsid w:val="001F168B"/>
    <w:rsid w:val="001F6FEF"/>
    <w:rsid w:val="00223880"/>
    <w:rsid w:val="002347A2"/>
    <w:rsid w:val="00247926"/>
    <w:rsid w:val="002675F0"/>
    <w:rsid w:val="00276EE4"/>
    <w:rsid w:val="002B6339"/>
    <w:rsid w:val="002E00EE"/>
    <w:rsid w:val="003172DC"/>
    <w:rsid w:val="00335412"/>
    <w:rsid w:val="0035462D"/>
    <w:rsid w:val="003753AF"/>
    <w:rsid w:val="003765B8"/>
    <w:rsid w:val="00396185"/>
    <w:rsid w:val="003A0483"/>
    <w:rsid w:val="003C3971"/>
    <w:rsid w:val="003C564B"/>
    <w:rsid w:val="003E7753"/>
    <w:rsid w:val="00423334"/>
    <w:rsid w:val="004345EC"/>
    <w:rsid w:val="004826A9"/>
    <w:rsid w:val="004B2602"/>
    <w:rsid w:val="004B5103"/>
    <w:rsid w:val="004C1601"/>
    <w:rsid w:val="004C163B"/>
    <w:rsid w:val="004D034A"/>
    <w:rsid w:val="004D3578"/>
    <w:rsid w:val="004D40A9"/>
    <w:rsid w:val="004E213A"/>
    <w:rsid w:val="004F0988"/>
    <w:rsid w:val="004F10A0"/>
    <w:rsid w:val="004F3340"/>
    <w:rsid w:val="004F3E3D"/>
    <w:rsid w:val="0053388B"/>
    <w:rsid w:val="00535773"/>
    <w:rsid w:val="00543E6C"/>
    <w:rsid w:val="00551FC5"/>
    <w:rsid w:val="00565087"/>
    <w:rsid w:val="00572E14"/>
    <w:rsid w:val="005973BE"/>
    <w:rsid w:val="005A5986"/>
    <w:rsid w:val="005D2E01"/>
    <w:rsid w:val="005D7526"/>
    <w:rsid w:val="005E69AE"/>
    <w:rsid w:val="00602AEA"/>
    <w:rsid w:val="00607E3C"/>
    <w:rsid w:val="00614FDF"/>
    <w:rsid w:val="006246A7"/>
    <w:rsid w:val="0062595A"/>
    <w:rsid w:val="00634730"/>
    <w:rsid w:val="0063543D"/>
    <w:rsid w:val="00647114"/>
    <w:rsid w:val="00654D3E"/>
    <w:rsid w:val="006675E6"/>
    <w:rsid w:val="006A323F"/>
    <w:rsid w:val="006B30D0"/>
    <w:rsid w:val="006C3D95"/>
    <w:rsid w:val="006E5C86"/>
    <w:rsid w:val="00713C44"/>
    <w:rsid w:val="00734A5B"/>
    <w:rsid w:val="007368AE"/>
    <w:rsid w:val="0074026F"/>
    <w:rsid w:val="007429F6"/>
    <w:rsid w:val="00744E76"/>
    <w:rsid w:val="00752198"/>
    <w:rsid w:val="0075242E"/>
    <w:rsid w:val="00753881"/>
    <w:rsid w:val="00765D86"/>
    <w:rsid w:val="007713D4"/>
    <w:rsid w:val="00774DA4"/>
    <w:rsid w:val="00781D07"/>
    <w:rsid w:val="00781F0F"/>
    <w:rsid w:val="0078318F"/>
    <w:rsid w:val="007951D3"/>
    <w:rsid w:val="007A634D"/>
    <w:rsid w:val="007B600E"/>
    <w:rsid w:val="007F0F4A"/>
    <w:rsid w:val="008028A4"/>
    <w:rsid w:val="00820B25"/>
    <w:rsid w:val="00830747"/>
    <w:rsid w:val="008768CA"/>
    <w:rsid w:val="008C384C"/>
    <w:rsid w:val="008E7986"/>
    <w:rsid w:val="008F0727"/>
    <w:rsid w:val="008F6E93"/>
    <w:rsid w:val="0090271F"/>
    <w:rsid w:val="00902E23"/>
    <w:rsid w:val="009114D7"/>
    <w:rsid w:val="0091348E"/>
    <w:rsid w:val="00917CCB"/>
    <w:rsid w:val="00942EC2"/>
    <w:rsid w:val="009536FA"/>
    <w:rsid w:val="00973EAF"/>
    <w:rsid w:val="00973F6E"/>
    <w:rsid w:val="00996113"/>
    <w:rsid w:val="00997281"/>
    <w:rsid w:val="009A2BFA"/>
    <w:rsid w:val="009A6DA8"/>
    <w:rsid w:val="009F37B7"/>
    <w:rsid w:val="009F5E43"/>
    <w:rsid w:val="009F6F20"/>
    <w:rsid w:val="00A10F02"/>
    <w:rsid w:val="00A164B4"/>
    <w:rsid w:val="00A16F12"/>
    <w:rsid w:val="00A26956"/>
    <w:rsid w:val="00A53724"/>
    <w:rsid w:val="00A55310"/>
    <w:rsid w:val="00A73129"/>
    <w:rsid w:val="00A75A83"/>
    <w:rsid w:val="00A7650B"/>
    <w:rsid w:val="00A82346"/>
    <w:rsid w:val="00A92BA1"/>
    <w:rsid w:val="00AC6BC6"/>
    <w:rsid w:val="00AD081C"/>
    <w:rsid w:val="00AE3797"/>
    <w:rsid w:val="00B033CB"/>
    <w:rsid w:val="00B03B5E"/>
    <w:rsid w:val="00B15449"/>
    <w:rsid w:val="00B93086"/>
    <w:rsid w:val="00BA19ED"/>
    <w:rsid w:val="00BA300B"/>
    <w:rsid w:val="00BA4B8D"/>
    <w:rsid w:val="00BC0F7D"/>
    <w:rsid w:val="00BD1818"/>
    <w:rsid w:val="00BE3255"/>
    <w:rsid w:val="00BF128E"/>
    <w:rsid w:val="00C1496A"/>
    <w:rsid w:val="00C33079"/>
    <w:rsid w:val="00C45231"/>
    <w:rsid w:val="00C666F8"/>
    <w:rsid w:val="00C72833"/>
    <w:rsid w:val="00C80F1D"/>
    <w:rsid w:val="00C93F40"/>
    <w:rsid w:val="00CA3D0C"/>
    <w:rsid w:val="00CE2FAD"/>
    <w:rsid w:val="00CF20E3"/>
    <w:rsid w:val="00CF3390"/>
    <w:rsid w:val="00CF7363"/>
    <w:rsid w:val="00D1577A"/>
    <w:rsid w:val="00D309CC"/>
    <w:rsid w:val="00D45EE8"/>
    <w:rsid w:val="00D46431"/>
    <w:rsid w:val="00D554AC"/>
    <w:rsid w:val="00D56A52"/>
    <w:rsid w:val="00D57972"/>
    <w:rsid w:val="00D675A9"/>
    <w:rsid w:val="00D738D6"/>
    <w:rsid w:val="00D741FE"/>
    <w:rsid w:val="00D755EB"/>
    <w:rsid w:val="00D87E00"/>
    <w:rsid w:val="00D9134D"/>
    <w:rsid w:val="00DA2D8C"/>
    <w:rsid w:val="00DA7A03"/>
    <w:rsid w:val="00DB1818"/>
    <w:rsid w:val="00DC309B"/>
    <w:rsid w:val="00DC4DA2"/>
    <w:rsid w:val="00DD4C17"/>
    <w:rsid w:val="00DF2B1F"/>
    <w:rsid w:val="00DF6189"/>
    <w:rsid w:val="00DF62CD"/>
    <w:rsid w:val="00E03542"/>
    <w:rsid w:val="00E05F92"/>
    <w:rsid w:val="00E16509"/>
    <w:rsid w:val="00E255F5"/>
    <w:rsid w:val="00E3192D"/>
    <w:rsid w:val="00E44582"/>
    <w:rsid w:val="00E50039"/>
    <w:rsid w:val="00E52814"/>
    <w:rsid w:val="00E64FAA"/>
    <w:rsid w:val="00E65E13"/>
    <w:rsid w:val="00E72324"/>
    <w:rsid w:val="00E72ABE"/>
    <w:rsid w:val="00E76A34"/>
    <w:rsid w:val="00E77645"/>
    <w:rsid w:val="00EC4A25"/>
    <w:rsid w:val="00EE5AA7"/>
    <w:rsid w:val="00EF0EB0"/>
    <w:rsid w:val="00F025A2"/>
    <w:rsid w:val="00F04712"/>
    <w:rsid w:val="00F21311"/>
    <w:rsid w:val="00F22EC7"/>
    <w:rsid w:val="00F325C8"/>
    <w:rsid w:val="00F35EFA"/>
    <w:rsid w:val="00F5250F"/>
    <w:rsid w:val="00F62AEB"/>
    <w:rsid w:val="00F653B8"/>
    <w:rsid w:val="00F70647"/>
    <w:rsid w:val="00F84751"/>
    <w:rsid w:val="00F97B58"/>
    <w:rsid w:val="00FA1266"/>
    <w:rsid w:val="00FC1192"/>
    <w:rsid w:val="00FD5D83"/>
    <w:rsid w:val="00FE44D7"/>
    <w:rsid w:val="00FF4E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50143B59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600"/>
    </w:pPr>
  </w:style>
  <w:style w:type="paragraph" w:styleId="TOC8">
    <w:name w:val="toc 8"/>
    <w:basedOn w:val="TOC1"/>
    <w:uiPriority w:val="39"/>
    <w:pPr>
      <w:spacing w:after="0"/>
      <w:ind w:left="1400"/>
    </w:pPr>
    <w:rPr>
      <w:b w:val="0"/>
      <w:bCs w:val="0"/>
    </w:rPr>
  </w:style>
  <w:style w:type="paragraph" w:styleId="TOC1">
    <w:name w:val="toc 1"/>
    <w:aliases w:val="TOC Proposal 1"/>
    <w:basedOn w:val="Proposal"/>
    <w:uiPriority w:val="39"/>
    <w:rsid w:val="005973BE"/>
    <w:rPr>
      <w:bCs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800"/>
    </w:pPr>
  </w:style>
  <w:style w:type="paragraph" w:styleId="TOC4">
    <w:name w:val="toc 4"/>
    <w:basedOn w:val="TOC3"/>
    <w:semiHidden/>
    <w:pPr>
      <w:ind w:left="600"/>
    </w:pPr>
  </w:style>
  <w:style w:type="paragraph" w:styleId="TOC3">
    <w:name w:val="toc 3"/>
    <w:basedOn w:val="TOC2"/>
    <w:semiHidden/>
    <w:pPr>
      <w:spacing w:before="0"/>
      <w:ind w:left="400"/>
    </w:pPr>
    <w:rPr>
      <w:i w:val="0"/>
      <w:iCs w:val="0"/>
    </w:rPr>
  </w:style>
  <w:style w:type="paragraph" w:styleId="TOC2">
    <w:name w:val="toc 2"/>
    <w:basedOn w:val="TOC1"/>
    <w:uiPriority w:val="39"/>
    <w:pPr>
      <w:spacing w:before="120" w:after="0"/>
      <w:ind w:left="200"/>
    </w:pPr>
    <w:rPr>
      <w:b w:val="0"/>
      <w:bCs w:val="0"/>
      <w:i/>
      <w:iCs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rsid w:val="00752198"/>
    <w:pPr>
      <w:keepLines/>
      <w:numPr>
        <w:numId w:val="6"/>
      </w:numPr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00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paragraph" w:customStyle="1" w:styleId="CH">
    <w:name w:val="CH"/>
    <w:basedOn w:val="Normal"/>
    <w:rsid w:val="00D46431"/>
    <w:pPr>
      <w:tabs>
        <w:tab w:val="left" w:pos="2268"/>
        <w:tab w:val="right" w:pos="7920"/>
        <w:tab w:val="right" w:pos="9639"/>
      </w:tabs>
      <w:spacing w:after="0"/>
    </w:pPr>
    <w:rPr>
      <w:rFonts w:ascii="Arial" w:hAnsi="Arial" w:cs="Arial"/>
      <w:b/>
      <w:sz w:val="24"/>
    </w:rPr>
  </w:style>
  <w:style w:type="paragraph" w:styleId="Revision">
    <w:name w:val="Revision"/>
    <w:hidden/>
    <w:uiPriority w:val="99"/>
    <w:semiHidden/>
    <w:rsid w:val="00820B25"/>
    <w:rPr>
      <w:lang w:eastAsia="en-US"/>
    </w:rPr>
  </w:style>
  <w:style w:type="paragraph" w:customStyle="1" w:styleId="Observation">
    <w:name w:val="Observation"/>
    <w:basedOn w:val="Normal"/>
    <w:rsid w:val="00E72324"/>
    <w:pPr>
      <w:tabs>
        <w:tab w:val="left" w:pos="1701"/>
      </w:tabs>
      <w:ind w:left="1701" w:hanging="1701"/>
    </w:pPr>
    <w:rPr>
      <w:i/>
    </w:rPr>
  </w:style>
  <w:style w:type="paragraph" w:customStyle="1" w:styleId="Proposal">
    <w:name w:val="Proposal"/>
    <w:basedOn w:val="Normal"/>
    <w:rsid w:val="003E7753"/>
    <w:pPr>
      <w:tabs>
        <w:tab w:val="left" w:pos="1701"/>
      </w:tabs>
      <w:ind w:left="1701" w:hanging="1701"/>
    </w:pPr>
    <w:rPr>
      <w:b/>
    </w:rPr>
  </w:style>
  <w:style w:type="paragraph" w:styleId="ListParagraph">
    <w:name w:val="List Paragraph"/>
    <w:basedOn w:val="Normal"/>
    <w:uiPriority w:val="34"/>
    <w:qFormat/>
    <w:rsid w:val="00F5250F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C666F8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8611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CE3F0B-46DC-8446-9C4A-2A3AFCD874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4</TotalTime>
  <Pages>2</Pages>
  <Words>587</Words>
  <Characters>3348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Manager/>
  <Company>Apple Inc</Company>
  <LinksUpToDate>false</LinksUpToDate>
  <CharactersWithSpaces>3928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Alexander Sayenko</dc:creator>
  <cp:keywords/>
  <dc:description/>
  <cp:lastModifiedBy>Microsoft Office User</cp:lastModifiedBy>
  <cp:revision>2</cp:revision>
  <cp:lastPrinted>2019-02-25T14:05:00Z</cp:lastPrinted>
  <dcterms:created xsi:type="dcterms:W3CDTF">2019-10-04T13:12:00Z</dcterms:created>
  <dcterms:modified xsi:type="dcterms:W3CDTF">2019-10-04T13:12:00Z</dcterms:modified>
  <cp:category/>
</cp:coreProperties>
</file>